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20" w:right="43" w:hanging="10"/>
        <w:jc w:val="center"/>
        <w:rPr>
          <w:rFonts w:ascii="Garamond" w:hAnsi="Garamond"/>
          <w:b/>
          <w:b/>
          <w:u w:val="single"/>
        </w:rPr>
      </w:pPr>
      <w:r>
        <w:rPr>
          <w:rFonts w:ascii="Garamond" w:hAnsi="Garamond"/>
          <w:b/>
          <w:u w:val="single"/>
        </w:rPr>
        <w:t>UMOWA – INSTALACJE KOLEKTORÓW SŁONECZNYCH</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 xml:space="preserve">Projekt pn. 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8"/>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14"/>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color w:val="auto"/>
          <w:kern w:val="0"/>
          <w:sz w:val="22"/>
          <w:szCs w:val="22"/>
          <w:lang w:val="pl-PL" w:eastAsia="en-US" w:bidi="ar-SA"/>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1"/>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kolektorów słonecznych do przygotowania ciepłej wody użytkowej.</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2"/>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3"/>
        </w:numPr>
        <w:jc w:val="both"/>
        <w:rPr>
          <w:rFonts w:ascii="Garamond" w:hAnsi="Garamond" w:cs="Times New Roman"/>
        </w:rPr>
      </w:pPr>
      <w:r>
        <w:rPr>
          <w:rFonts w:cs="Times New Roman" w:ascii="Garamond" w:hAnsi="Garamond"/>
        </w:rPr>
        <w:t>Przedmiotem Umowy jest określenie praw i obowiązków Stron związanych z realizacją Projektu oraz ustalenie warunków związanych z realizacją zakresu rzeczowego Projektu w budynku mieszkalnym Mieszkańca.</w:t>
      </w:r>
    </w:p>
    <w:p>
      <w:pPr>
        <w:pStyle w:val="ListParagraph"/>
        <w:numPr>
          <w:ilvl w:val="0"/>
          <w:numId w:val="3"/>
        </w:numPr>
        <w:ind w:left="364" w:hanging="360"/>
        <w:jc w:val="both"/>
        <w:rPr>
          <w:rFonts w:ascii="Garamond" w:hAnsi="Garamond" w:cs="Times New Roman"/>
        </w:rPr>
      </w:pPr>
      <w:r>
        <w:rPr>
          <w:rFonts w:cs="Times New Roman" w:ascii="Garamond" w:hAnsi="Garamond"/>
        </w:rPr>
        <w:t>Głównym celem Projektu jest ochrona powietrza atmosferycznego, w szczególności w zakresie redukcji niskiej emisji zanieczyszczeń.</w:t>
      </w:r>
    </w:p>
    <w:p>
      <w:pPr>
        <w:pStyle w:val="ListParagraph"/>
        <w:numPr>
          <w:ilvl w:val="0"/>
          <w:numId w:val="3"/>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3"/>
        </w:numPr>
        <w:ind w:left="364" w:hanging="360"/>
        <w:jc w:val="both"/>
        <w:rPr>
          <w:rFonts w:ascii="Garamond" w:hAnsi="Garamond" w:cs="Times New Roman"/>
        </w:rPr>
      </w:pPr>
      <w:r>
        <w:rPr>
          <w:rFonts w:cs="Times New Roman" w:ascii="Garamond" w:hAnsi="Garamond"/>
        </w:rPr>
        <w:t>Przeznaczeniem instalacji kolektorów słonecznych wykonanych w ramach Projektu na nieruchomościach Mieszkańców jest wykorzystywanie instalacji do celów podgrzewania wody użytkowej w zakresie potrzeb gospodarstw domowych niezwiązanych z działalnością gospodarczą.</w:t>
      </w:r>
    </w:p>
    <w:p>
      <w:pPr>
        <w:pStyle w:val="ListParagraph"/>
        <w:numPr>
          <w:ilvl w:val="0"/>
          <w:numId w:val="3"/>
        </w:numPr>
        <w:ind w:left="364" w:hanging="360"/>
        <w:jc w:val="both"/>
        <w:rPr>
          <w:rFonts w:ascii="Garamond" w:hAnsi="Garamond" w:cs="Times New Roman"/>
        </w:rPr>
      </w:pPr>
      <w:r>
        <w:rPr>
          <w:rFonts w:ascii="Garamond" w:hAnsi="Garamond"/>
        </w:rPr>
        <w:t>Termin zakończenia Projektu upływa z dniem 31.12.2020 r., w tym zakończenie robót związanych z wykonaniem zakresu rzeczowego Projektu – z dniem 31.12.2020 r.</w:t>
      </w:r>
      <w:bookmarkStart w:id="0" w:name="_Hlk48558844"/>
      <w:r>
        <w:rPr>
          <w:rFonts w:cs="Times New Roman" w:ascii="Garamond" w:hAnsi="Garamond"/>
        </w:rPr>
        <w:t xml:space="preserve"> , z zastrzeżeniem, że termin ten może ulec zmianie.</w:t>
      </w:r>
      <w:bookmarkEnd w:id="0"/>
    </w:p>
    <w:p>
      <w:pPr>
        <w:pStyle w:val="Normal"/>
        <w:jc w:val="center"/>
        <w:rPr>
          <w:rFonts w:ascii="Garamond" w:hAnsi="Garamond"/>
        </w:rPr>
      </w:pPr>
      <w:r>
        <w:rPr>
          <w:rFonts w:ascii="Garamond" w:hAnsi="Garamond"/>
        </w:rPr>
        <w:t>§ 2</w:t>
      </w:r>
    </w:p>
    <w:p>
      <w:pPr>
        <w:pStyle w:val="ListParagraph"/>
        <w:numPr>
          <w:ilvl w:val="0"/>
          <w:numId w:val="4"/>
        </w:numPr>
        <w:jc w:val="both"/>
        <w:rPr>
          <w:rFonts w:ascii="Garamond" w:hAnsi="Garamond" w:cs="Times New Roman"/>
        </w:rPr>
      </w:pPr>
      <w:r>
        <w:rPr>
          <w:rFonts w:cs="Times New Roman" w:ascii="Garamond" w:hAnsi="Garamond"/>
        </w:rPr>
        <w:t xml:space="preserve">Gmina oraz Lider Projektu zobowiązuje się do wykonania na nieruchomości Mieszkańca położonej w miejscowości ………..………………… przy ul. ……………nr …..………, oznaczonej jako działka ewidencyjna nr ………..…--, montażu zestawu kolektorów słonecznych wraz z zespołem urządzeń i instalacji typu </w:t>
      </w:r>
      <w:r>
        <w:rPr>
          <w:rFonts w:cs="Times New Roman" w:ascii="Garamond" w:hAnsi="Garamond"/>
        </w:rPr>
        <w:t>C</w:t>
      </w:r>
      <w:r>
        <w:rPr>
          <w:rFonts w:cs="Times New Roman" w:ascii="Garamond" w:hAnsi="Garamond"/>
        </w:rPr>
        <w:t xml:space="preserve"> . Instalacja oraz uruchomienie Układu wykonane zostanie na zlecenie Gminy i Lidera Projektu przez Wykonawcę.</w:t>
      </w:r>
    </w:p>
    <w:p>
      <w:pPr>
        <w:pStyle w:val="ListParagraph"/>
        <w:numPr>
          <w:ilvl w:val="0"/>
          <w:numId w:val="4"/>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w:t>
      </w:r>
      <w:r>
        <w:rPr>
          <w:rFonts w:cs="Times New Roman" w:ascii="Garamond" w:hAnsi="Garamond"/>
          <w:color w:val="FF0000"/>
        </w:rPr>
        <w:t xml:space="preserve"> </w:t>
      </w:r>
      <w:r>
        <w:rPr>
          <w:rFonts w:cs="Times New Roman" w:ascii="Garamond" w:hAnsi="Garamond"/>
        </w:rPr>
        <w:t xml:space="preserve">W razie nieuwzględnienia wniosku Mieszkańca, o którym mowa w zdaniu poprzedzającym Gmina uprawniona jest do rozpoczęcia robót w terminie ustalonym w zawiadomieniu, na co Mieszkaniec wyraża zgodę zobowiązując się do udostępnienia nieruchomości w celu wykonania prac. </w:t>
      </w:r>
    </w:p>
    <w:p>
      <w:pPr>
        <w:pStyle w:val="ListParagraph"/>
        <w:numPr>
          <w:ilvl w:val="0"/>
          <w:numId w:val="4"/>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4"/>
        </w:numPr>
        <w:jc w:val="both"/>
        <w:rPr>
          <w:rFonts w:ascii="Garamond" w:hAnsi="Garamond" w:cs="Times New Roman"/>
        </w:rPr>
      </w:pPr>
      <w:r>
        <w:rPr>
          <w:rFonts w:cs="Times New Roman" w:ascii="Garamond" w:hAnsi="Garamond"/>
        </w:rPr>
        <w:t>Mieszkaniec wyraża zgodę na zainstalowanie Układu na nieruchomości Mieszkańca i oświadcza, że nieodpłatnie udostępnia, na czas realizacji Projektu oraz okres, o którym mowa w ust. 3, niezbędną powierzchnię dachu (elewacji lub gruntu) oraz pomieszczeń celem montażu Układu. W przypadku objęcia nieruchomości Mieszkańca systemem monitoringu pracy instalacji, zgoda i oświadczenie, o którym mowa w zdaniu poprzednim, dotyczy również zainstalowania urządzenia pomiarowego.</w:t>
      </w:r>
    </w:p>
    <w:p>
      <w:pPr>
        <w:pStyle w:val="ListParagraph"/>
        <w:numPr>
          <w:ilvl w:val="0"/>
          <w:numId w:val="4"/>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4"/>
        </w:numPr>
        <w:jc w:val="both"/>
        <w:rPr>
          <w:rFonts w:ascii="Garamond" w:hAnsi="Garamond" w:cs="Times New Roman"/>
        </w:rPr>
      </w:pPr>
      <w:r>
        <w:rPr>
          <w:rFonts w:cs="Times New Roman" w:ascii="Garamond" w:hAnsi="Garamond"/>
        </w:rPr>
        <w:t xml:space="preserve">Mieszkaniec wyraża zgodę przetwarzanie danych osobowych zgodnie z art. 6 ust.1 lit. a), b) 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4"/>
        </w:numPr>
        <w:jc w:val="both"/>
        <w:rPr>
          <w:rFonts w:ascii="Garamond" w:hAnsi="Garamond" w:cs="Times New Roman"/>
        </w:rPr>
      </w:pPr>
      <w:r>
        <w:rPr>
          <w:rFonts w:cs="Times New Roman" w:ascii="Garamond" w:hAnsi="Garamond"/>
        </w:rPr>
        <w:t>Mieszkaniec oświadcza, że:</w:t>
      </w:r>
    </w:p>
    <w:p>
      <w:pPr>
        <w:pStyle w:val="ListParagraph"/>
        <w:numPr>
          <w:ilvl w:val="1"/>
          <w:numId w:val="4"/>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4"/>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4"/>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4"/>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4"/>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4"/>
        </w:numPr>
        <w:jc w:val="both"/>
        <w:rPr>
          <w:rFonts w:ascii="Garamond" w:hAnsi="Garamond" w:cs="Times New Roman"/>
        </w:rPr>
      </w:pPr>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4"/>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5"/>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Ropa, odpowiada Gmina. </w:t>
      </w:r>
    </w:p>
    <w:p>
      <w:pPr>
        <w:pStyle w:val="ListParagraph"/>
        <w:numPr>
          <w:ilvl w:val="0"/>
          <w:numId w:val="5"/>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m.in. za dostawę i montaż Układów), Administratora Projektu, Inspektora Nadzoru oraz podpisze umowy z Wykonawcami kontraktów. </w:t>
      </w:r>
    </w:p>
    <w:p>
      <w:pPr>
        <w:pStyle w:val="ListParagraph"/>
        <w:numPr>
          <w:ilvl w:val="0"/>
          <w:numId w:val="5"/>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5"/>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5"/>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5"/>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5"/>
        </w:numPr>
        <w:jc w:val="both"/>
        <w:rPr>
          <w:rFonts w:ascii="Garamond" w:hAnsi="Garamond" w:cs="Times New Roman"/>
        </w:rPr>
      </w:pPr>
      <w:r>
        <w:rPr>
          <w:rFonts w:cs="Times New Roman" w:ascii="Garamond" w:hAnsi="Garamond"/>
        </w:rPr>
        <w:t>Dokonanie przeglądu istniejącego stanu instalacji grzewczej wody użytkowej, pomieszczeń i miejsc montażu Układu w/na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5"/>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5"/>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5"/>
        </w:numPr>
        <w:jc w:val="both"/>
        <w:rPr>
          <w:rFonts w:ascii="Garamond" w:hAnsi="Garamond" w:cs="Times New Roman"/>
        </w:rPr>
      </w:pPr>
      <w:r>
        <w:rPr>
          <w:rFonts w:cs="Times New Roman" w:ascii="Garamond" w:hAnsi="Garamond"/>
        </w:rPr>
        <w:t>Montaż Układu;</w:t>
      </w:r>
    </w:p>
    <w:p>
      <w:pPr>
        <w:pStyle w:val="ListParagraph"/>
        <w:numPr>
          <w:ilvl w:val="1"/>
          <w:numId w:val="5"/>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5"/>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5"/>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5"/>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5"/>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5"/>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6"/>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grzewczej wody użytkowej, pomieszczeń i miejsc montażu urządzeń w budynku mieszkalnym Mieszkańca, pozyskania niezbędnych informacji koniecznych do ustalenia właściwych rozwiązań instalacji i do określenia zakresu niezbędnych adaptacji i przeróbek oraz prac w ramach montażu Układu; </w:t>
      </w:r>
    </w:p>
    <w:p>
      <w:pPr>
        <w:pStyle w:val="ListParagraph"/>
        <w:numPr>
          <w:ilvl w:val="1"/>
          <w:numId w:val="6"/>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6"/>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6"/>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6"/>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6"/>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6"/>
        </w:numPr>
        <w:jc w:val="both"/>
        <w:rPr>
          <w:rFonts w:ascii="Garamond" w:hAnsi="Garamond" w:cs="Times New Roman"/>
        </w:rPr>
      </w:pPr>
      <w:r>
        <w:rPr>
          <w:rFonts w:cs="Times New Roman" w:ascii="Garamond" w:hAnsi="Garamond"/>
        </w:rPr>
        <w:t xml:space="preserve">Wszelkie prace konieczne do wykonania, nie określone w obowiązkach Gminy a wynikające z odrębnych decyzji Mieszkańca, Mieszkaniec musi zapewnić we własnym zakresie wraz z poniesieniem ich kosztów w całości, pod rygorem odstąpienia od niniejszej Umowy przez Gminę; </w:t>
      </w:r>
    </w:p>
    <w:p>
      <w:pPr>
        <w:pStyle w:val="ListParagraph"/>
        <w:numPr>
          <w:ilvl w:val="1"/>
          <w:numId w:val="6"/>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6"/>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6"/>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6"/>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6"/>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6"/>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6"/>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6"/>
        </w:numPr>
        <w:jc w:val="both"/>
        <w:rPr>
          <w:rFonts w:ascii="Garamond" w:hAnsi="Garamond" w:cs="Times New Roman"/>
        </w:rPr>
      </w:pPr>
      <w:r>
        <w:rPr>
          <w:rFonts w:cs="Times New Roman" w:ascii="Garamond" w:hAnsi="Garamond"/>
        </w:rPr>
        <w:t xml:space="preserve">W każdym przypadku udostępniania budynku mieszkalnego lub przyzwalania na dostęp 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7"/>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7"/>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7"/>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7"/>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8"/>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8"/>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t>§ 7</w:t>
      </w:r>
    </w:p>
    <w:p>
      <w:pPr>
        <w:pStyle w:val="ListParagraph"/>
        <w:numPr>
          <w:ilvl w:val="0"/>
          <w:numId w:val="9"/>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co najmniej 40% ceny brutto Układu z uwzględnieniem narzutu kosztów Administratora Projektu oraz Inspektora Nadzoru.</w:t>
      </w:r>
    </w:p>
    <w:p>
      <w:pPr>
        <w:pStyle w:val="Tretekstu"/>
        <w:numPr>
          <w:ilvl w:val="0"/>
          <w:numId w:val="9"/>
        </w:numPr>
        <w:rPr>
          <w:rFonts w:ascii="Garamond" w:hAnsi="Garamond" w:cs="Times New Roman"/>
        </w:rPr>
      </w:pPr>
      <w:r>
        <w:rPr>
          <w:rFonts w:cs="Times New Roman" w:ascii="Garamond" w:hAnsi="Garamond"/>
        </w:rPr>
        <w:t xml:space="preserve">Wysokość wpłaty Mieszkańca w związku z instalacją Układu typu </w:t>
      </w:r>
      <w:r>
        <w:rPr>
          <w:rFonts w:eastAsia="Calibri" w:cs="Times New Roman" w:ascii="Garamond" w:hAnsi="Garamond" w:eastAsiaTheme="minorHAnsi"/>
          <w:color w:val="auto"/>
          <w:kern w:val="0"/>
          <w:sz w:val="22"/>
          <w:szCs w:val="22"/>
          <w:lang w:val="pl-PL" w:eastAsia="en-US" w:bidi="ar-SA"/>
        </w:rPr>
        <w:t>C</w:t>
      </w:r>
      <w:r>
        <w:rPr>
          <w:rFonts w:cs="Times New Roman" w:ascii="Garamond" w:hAnsi="Garamond"/>
        </w:rPr>
        <w:t xml:space="preserve">, o którym mowa w § 2 ust. 1 Umowy, wynosi </w:t>
      </w:r>
      <w:r>
        <w:rPr>
          <w:rFonts w:eastAsia="Calibri" w:cs="Times New Roman" w:ascii="Garamond" w:hAnsi="Garamond" w:eastAsiaTheme="minorHAnsi"/>
          <w:color w:val="auto"/>
          <w:kern w:val="0"/>
          <w:sz w:val="22"/>
          <w:szCs w:val="22"/>
          <w:lang w:val="pl-PL" w:eastAsia="en-US" w:bidi="ar-SA"/>
        </w:rPr>
        <w:t xml:space="preserve">6038,26 </w:t>
      </w:r>
      <w:r>
        <w:rPr>
          <w:rFonts w:cs="Times New Roman" w:ascii="Garamond" w:hAnsi="Garamond"/>
        </w:rPr>
        <w:t xml:space="preserve">zł (słownie </w:t>
      </w:r>
      <w:r>
        <w:rPr>
          <w:rFonts w:eastAsia="Calibri" w:cs="Times New Roman" w:ascii="Garamond" w:hAnsi="Garamond" w:eastAsiaTheme="minorHAnsi"/>
          <w:color w:val="auto"/>
          <w:kern w:val="0"/>
          <w:sz w:val="22"/>
          <w:szCs w:val="22"/>
          <w:lang w:val="pl-PL" w:eastAsia="en-US" w:bidi="ar-SA"/>
        </w:rPr>
        <w:t>sześć tysięcy trzydzieści osiem złotych dwadzieścia sześć złotych ).</w:t>
      </w:r>
    </w:p>
    <w:p>
      <w:pPr>
        <w:pStyle w:val="Tretekstu"/>
        <w:numPr>
          <w:ilvl w:val="0"/>
          <w:numId w:val="9"/>
        </w:numPr>
        <w:rPr>
          <w:rFonts w:ascii="Garamond" w:hAnsi="Garamond" w:cs="Times New Roman"/>
        </w:rPr>
      </w:pPr>
      <w:r>
        <w:rPr>
          <w:rFonts w:cs="Times New Roman" w:ascii="Garamond" w:hAnsi="Garamond"/>
        </w:rPr>
        <w:t>Na wysokość wpłaty o której mowa w ust. 2 składają się :</w:t>
      </w:r>
      <w:bookmarkStart w:id="1" w:name="_GoBack"/>
      <w:bookmarkEnd w:id="1"/>
    </w:p>
    <w:p>
      <w:pPr>
        <w:pStyle w:val="ListParagraph"/>
        <w:ind w:left="851" w:hanging="0"/>
        <w:jc w:val="both"/>
        <w:rPr>
          <w:rFonts w:ascii="Garamond" w:hAnsi="Garamond" w:cs="Times New Roman"/>
        </w:rPr>
      </w:pPr>
      <w:r>
        <w:rPr>
          <w:rFonts w:cs="Times New Roman" w:ascii="Garamond" w:hAnsi="Garamond"/>
        </w:rPr>
        <w:t xml:space="preserve">1. 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ListParagraph"/>
        <w:numPr>
          <w:ilvl w:val="0"/>
          <w:numId w:val="9"/>
        </w:numPr>
        <w:jc w:val="both"/>
        <w:rPr>
          <w:rFonts w:ascii="Garamond" w:hAnsi="Garamond" w:cs="Times New Roman"/>
        </w:rPr>
      </w:pPr>
      <w:r>
        <w:rPr>
          <w:rFonts w:ascii="Garamond" w:hAnsi="Garamond"/>
        </w:rPr>
        <w:t xml:space="preserve">Wpłaty o której mowa w ust.1 należy dokonać </w:t>
      </w:r>
      <w:bookmarkStart w:id="2" w:name="_Hlk48558865"/>
      <w:r>
        <w:rPr>
          <w:rFonts w:cs="Times New Roman" w:ascii="Garamond" w:hAnsi="Garamond"/>
        </w:rPr>
        <w:t>przed montażem instalacji</w:t>
      </w:r>
      <w:bookmarkEnd w:id="2"/>
      <w:r>
        <w:rPr>
          <w:rFonts w:cs="Times New Roman" w:ascii="Garamond" w:hAnsi="Garamond"/>
        </w:rPr>
        <w:t xml:space="preserve"> </w:t>
      </w:r>
      <w:r>
        <w:rPr>
          <w:rFonts w:ascii="Garamond" w:hAnsi="Garamond"/>
        </w:rPr>
        <w:t xml:space="preserve">na rachunek bankowy Gminy numer </w:t>
      </w:r>
      <w:r>
        <w:rPr>
          <w:rFonts w:eastAsia="Calibri" w:cs="" w:ascii="Garamond" w:hAnsi="Garamond" w:cstheme="minorBidi" w:eastAsiaTheme="minorHAnsi"/>
          <w:szCs w:val="22"/>
          <w:lang w:eastAsia="en-US"/>
        </w:rPr>
        <w:t>27 8795 0005 2001 0019 3858 0034</w:t>
      </w:r>
      <w:r>
        <w:rPr>
          <w:rFonts w:ascii="Garamond" w:hAnsi="Garamond"/>
        </w:rPr>
        <w:t xml:space="preserve">, prowadzony w Banku Spółdzielczym  w Gorlicach z dopiskiem „Projekt OZE” i wskazaniem numeru niniejszej umowy oraz adresu lokalizacji Układu, zgodnym z zapisami § 2 ust. 1 </w:t>
      </w:r>
    </w:p>
    <w:p>
      <w:pPr>
        <w:pStyle w:val="ListParagraph"/>
        <w:numPr>
          <w:ilvl w:val="0"/>
          <w:numId w:val="9"/>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9"/>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10"/>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10"/>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10"/>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10"/>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9</w:t>
      </w:r>
    </w:p>
    <w:p>
      <w:pPr>
        <w:pStyle w:val="ListParagraph"/>
        <w:numPr>
          <w:ilvl w:val="0"/>
          <w:numId w:val="11"/>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11"/>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11"/>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w:t>
      </w:r>
    </w:p>
    <w:p>
      <w:pPr>
        <w:pStyle w:val="Normal"/>
        <w:rPr>
          <w:rFonts w:ascii="Garamond" w:hAnsi="Garamond"/>
        </w:rPr>
      </w:pPr>
      <w:r>
        <w:rPr>
          <w:rFonts w:ascii="Garamond" w:hAnsi="Garamond"/>
        </w:rPr>
        <w:t xml:space="preserve"> </w:t>
      </w:r>
    </w:p>
    <w:p>
      <w:pPr>
        <w:pStyle w:val="Normal"/>
        <w:jc w:val="center"/>
        <w:rPr>
          <w:rFonts w:ascii="Garamond" w:hAnsi="Garamond"/>
        </w:rPr>
      </w:pPr>
      <w:r>
        <w:rPr>
          <w:rFonts w:ascii="Garamond" w:hAnsi="Garamond"/>
        </w:rPr>
        <w:t>§ 11</w:t>
      </w:r>
    </w:p>
    <w:p>
      <w:pPr>
        <w:pStyle w:val="ListParagraph"/>
        <w:numPr>
          <w:ilvl w:val="0"/>
          <w:numId w:val="12"/>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12"/>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3"/>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3"/>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3"/>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3"/>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3"/>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3"/>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r>
        <w:rPr>
          <w:rFonts w:cs="Calibri" w:ascii="Garamond" w:hAnsi="Garamond" w:cstheme="minorHAnsi"/>
          <w:sz w:val="22"/>
          <w:szCs w:val="22"/>
        </w:rPr>
        <w:tab/>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r>
        <w:fldChar w:fldCharType="begin"/>
      </w:r>
      <w:r>
        <w:rPr>
          <w:lang w:val="pl-PL"/>
        </w:rPr>
        <w:instrText>NOTEREF _Ref485637216 \h</w:instrText>
      </w:r>
      <w:r>
        <w:rPr>
          <w:lang w:val="pl-PL"/>
        </w:rPr>
      </w:r>
      <w:r>
        <w:rPr>
          <w:lang w:val="pl-PL"/>
        </w:rPr>
        <w:fldChar w:fldCharType="separate"/>
      </w:r>
      <w:r>
        <w:rPr>
          <w:lang w:val="pl-PL"/>
        </w:rPr>
      </w:r>
      <w:r>
        <w:rPr>
          <w:b/>
          <w:bCs/>
          <w:lang w:val="pl-PL"/>
        </w:rPr>
        <w:t>Błąd! Nie zdefiniowano zakładki.</w:t>
      </w:r>
      <w:r>
        <w:rPr>
          <w:lang w:val="pl-PL"/>
        </w:rPr>
      </w:r>
      <w:r>
        <w:rPr>
          <w:lang w:val="pl-PL"/>
        </w:rPr>
        <w:fldChar w:fldCharType="end"/>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bcd"/>
    <w:pPr>
      <w:widowControl/>
      <w:suppressAutoHyphens w:val="tru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464bcd"/>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464bcd"/>
    <w:rPr>
      <w:vertAlign w:val="superscript"/>
    </w:rPr>
  </w:style>
  <w:style w:type="character" w:styleId="NagwekZnak" w:customStyle="1">
    <w:name w:val="Nagłówek Znak"/>
    <w:basedOn w:val="DefaultParagraphFont"/>
    <w:link w:val="Nagwek"/>
    <w:uiPriority w:val="99"/>
    <w:qFormat/>
    <w:rsid w:val="00464bcd"/>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464bcd"/>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d658a3"/>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464bcd"/>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464bcd"/>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464bcd"/>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464bcd"/>
    <w:pPr>
      <w:tabs>
        <w:tab w:val="clear" w:pos="708"/>
        <w:tab w:val="center" w:pos="4536" w:leader="none"/>
        <w:tab w:val="right" w:pos="9072" w:leader="none"/>
      </w:tabs>
    </w:pPr>
    <w:rPr/>
  </w:style>
  <w:style w:type="paragraph" w:styleId="Stopka">
    <w:name w:val="Footer"/>
    <w:basedOn w:val="Normal"/>
    <w:link w:val="StopkaZnak"/>
    <w:uiPriority w:val="99"/>
    <w:unhideWhenUsed/>
    <w:rsid w:val="00464bcd"/>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d658a3"/>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Application>LibreOffice/6.4.2.2$Windows_X86_64 LibreOffice_project/4e471d8c02c9c90f512f7f9ead8875b57fcb1ec3</Application>
  <Pages>8</Pages>
  <Words>2660</Words>
  <Characters>16751</Characters>
  <CharactersWithSpaces>19306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2020-08-04T09:02:00Z</dcterms:created>
  <dc:creator>Gabrysia</dc:creator>
  <dc:description/>
  <dc:language>pl-PL</dc:language>
  <cp:lastModifiedBy/>
  <cp:lastPrinted>2020-08-28T08:19:00Z</cp:lastPrinted>
  <dcterms:modified xsi:type="dcterms:W3CDTF">2020-09-10T11:47:57Z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